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E43201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43201">
        <w:rPr>
          <w:rFonts w:ascii="Arial" w:hAnsi="Arial" w:cs="Arial"/>
          <w:sz w:val="20"/>
          <w:szCs w:val="20"/>
        </w:rPr>
        <w:t>26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43201" w:rsidRPr="00E43201">
        <w:rPr>
          <w:rFonts w:ascii="Arial" w:hAnsi="Arial" w:cs="Arial"/>
          <w:sz w:val="20"/>
          <w:szCs w:val="20"/>
        </w:rPr>
        <w:t>Saigon VRG Investment Corporation</w:t>
      </w:r>
      <w:r w:rsidR="00E43201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3F38AB" w:rsidRDefault="003F38AB" w:rsidP="003F38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8AB">
        <w:rPr>
          <w:rFonts w:ascii="Arial" w:hAnsi="Arial" w:cs="Arial"/>
          <w:sz w:val="20"/>
          <w:szCs w:val="20"/>
        </w:rPr>
        <w:t xml:space="preserve">Article 1: Approve the reports presented by the Board of Directors, the Supervisory Board at the Meeting, including: </w:t>
      </w:r>
    </w:p>
    <w:p w:rsidR="003F38AB" w:rsidRDefault="003F38AB" w:rsidP="003F38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</w:t>
      </w:r>
      <w:r w:rsidRPr="003F38AB">
        <w:rPr>
          <w:rFonts w:ascii="Arial" w:hAnsi="Arial" w:cs="Arial"/>
          <w:sz w:val="20"/>
          <w:szCs w:val="20"/>
        </w:rPr>
        <w:t xml:space="preserve">eport </w:t>
      </w:r>
      <w:r>
        <w:rPr>
          <w:rFonts w:ascii="Arial" w:hAnsi="Arial" w:cs="Arial"/>
          <w:sz w:val="20"/>
          <w:szCs w:val="20"/>
        </w:rPr>
        <w:t xml:space="preserve">on operation </w:t>
      </w:r>
      <w:r w:rsidRPr="003F38AB">
        <w:rPr>
          <w:rFonts w:ascii="Arial" w:hAnsi="Arial" w:cs="Arial"/>
          <w:sz w:val="20"/>
          <w:szCs w:val="20"/>
        </w:rPr>
        <w:t xml:space="preserve">of the Board of Directors </w:t>
      </w:r>
      <w:r>
        <w:rPr>
          <w:rFonts w:ascii="Arial" w:hAnsi="Arial" w:cs="Arial"/>
          <w:sz w:val="20"/>
          <w:szCs w:val="20"/>
        </w:rPr>
        <w:t>in</w:t>
      </w:r>
      <w:r w:rsidRPr="003F38AB">
        <w:rPr>
          <w:rFonts w:ascii="Arial" w:hAnsi="Arial" w:cs="Arial"/>
          <w:sz w:val="20"/>
          <w:szCs w:val="20"/>
        </w:rPr>
        <w:t xml:space="preserve"> 2019 and the operation pl</w:t>
      </w:r>
      <w:r>
        <w:rPr>
          <w:rFonts w:ascii="Arial" w:hAnsi="Arial" w:cs="Arial"/>
          <w:sz w:val="20"/>
          <w:szCs w:val="20"/>
        </w:rPr>
        <w:t>an for 2020</w:t>
      </w:r>
    </w:p>
    <w:p w:rsidR="003F38AB" w:rsidRDefault="003F38AB" w:rsidP="003F38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F38AB">
        <w:rPr>
          <w:rFonts w:ascii="Arial" w:hAnsi="Arial" w:cs="Arial"/>
          <w:sz w:val="20"/>
          <w:szCs w:val="20"/>
        </w:rPr>
        <w:t xml:space="preserve"> Report on the operation results of the Supervisory Board in 2019</w:t>
      </w:r>
      <w:r>
        <w:rPr>
          <w:rFonts w:ascii="Arial" w:hAnsi="Arial" w:cs="Arial"/>
          <w:sz w:val="20"/>
          <w:szCs w:val="20"/>
        </w:rPr>
        <w:t xml:space="preserve"> and the operation plan in 2020</w:t>
      </w:r>
    </w:p>
    <w:p w:rsidR="003F38AB" w:rsidRDefault="003F38AB" w:rsidP="003F38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8AB">
        <w:rPr>
          <w:rFonts w:ascii="Arial" w:hAnsi="Arial" w:cs="Arial"/>
          <w:sz w:val="20"/>
          <w:szCs w:val="20"/>
        </w:rPr>
        <w:t xml:space="preserve">Article 2: Approve the production and business results in 2019 with some main </w:t>
      </w:r>
      <w:r>
        <w:rPr>
          <w:rFonts w:ascii="Arial" w:hAnsi="Arial" w:cs="Arial"/>
          <w:sz w:val="20"/>
          <w:szCs w:val="20"/>
        </w:rPr>
        <w:t>targets</w:t>
      </w:r>
      <w:r w:rsidRPr="003F38AB">
        <w:rPr>
          <w:rFonts w:ascii="Arial" w:hAnsi="Arial" w:cs="Arial"/>
          <w:sz w:val="20"/>
          <w:szCs w:val="20"/>
        </w:rPr>
        <w:t xml:space="preserve"> such as the following </w:t>
      </w:r>
    </w:p>
    <w:p w:rsidR="003F38AB" w:rsidRDefault="003F38AB" w:rsidP="003F38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8AB">
        <w:rPr>
          <w:rFonts w:ascii="Arial" w:hAnsi="Arial" w:cs="Arial"/>
          <w:sz w:val="20"/>
          <w:szCs w:val="20"/>
        </w:rPr>
        <w:t xml:space="preserve">Unit: </w:t>
      </w:r>
      <w:r>
        <w:rPr>
          <w:rFonts w:ascii="Arial" w:hAnsi="Arial" w:cs="Arial"/>
          <w:sz w:val="20"/>
          <w:szCs w:val="20"/>
        </w:rPr>
        <w:t xml:space="preserve">VND </w:t>
      </w:r>
      <w:r w:rsidRPr="003F38AB">
        <w:rPr>
          <w:rFonts w:ascii="Arial" w:hAnsi="Arial" w:cs="Arial"/>
          <w:sz w:val="20"/>
          <w:szCs w:val="20"/>
        </w:rPr>
        <w:t xml:space="preserve">million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182"/>
        <w:gridCol w:w="1915"/>
        <w:gridCol w:w="1915"/>
        <w:gridCol w:w="1916"/>
      </w:tblGrid>
      <w:tr w:rsidR="003F38AB" w:rsidTr="003F38AB">
        <w:tc>
          <w:tcPr>
            <w:tcW w:w="648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 xml:space="preserve">No.  </w:t>
            </w:r>
          </w:p>
        </w:tc>
        <w:tc>
          <w:tcPr>
            <w:tcW w:w="3182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1915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915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Implementation 2019</w:t>
            </w:r>
          </w:p>
        </w:tc>
        <w:tc>
          <w:tcPr>
            <w:tcW w:w="1916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</w:t>
            </w:r>
            <w:r w:rsidRPr="003F38AB">
              <w:rPr>
                <w:rFonts w:ascii="Arial" w:hAnsi="Arial" w:cs="Arial"/>
                <w:sz w:val="20"/>
                <w:szCs w:val="20"/>
              </w:rPr>
              <w:t>/decrease compared to Plan 2019</w:t>
            </w:r>
          </w:p>
        </w:tc>
      </w:tr>
      <w:tr w:rsidR="003F38AB" w:rsidTr="0094646D">
        <w:tc>
          <w:tcPr>
            <w:tcW w:w="9576" w:type="dxa"/>
            <w:gridSpan w:val="5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Separate financial statement </w:t>
            </w:r>
          </w:p>
        </w:tc>
      </w:tr>
      <w:tr w:rsidR="003F38AB" w:rsidTr="003F38AB">
        <w:tc>
          <w:tcPr>
            <w:tcW w:w="648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82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915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1,949,200</w:t>
            </w:r>
          </w:p>
        </w:tc>
        <w:tc>
          <w:tcPr>
            <w:tcW w:w="1915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3,288,963</w:t>
            </w:r>
          </w:p>
        </w:tc>
        <w:tc>
          <w:tcPr>
            <w:tcW w:w="1916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168.7%</w:t>
            </w:r>
          </w:p>
        </w:tc>
      </w:tr>
      <w:tr w:rsidR="003F38AB" w:rsidTr="003F38AB">
        <w:tc>
          <w:tcPr>
            <w:tcW w:w="648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82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915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187,500</w:t>
            </w:r>
          </w:p>
        </w:tc>
        <w:tc>
          <w:tcPr>
            <w:tcW w:w="1915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587,433</w:t>
            </w:r>
          </w:p>
        </w:tc>
        <w:tc>
          <w:tcPr>
            <w:tcW w:w="1916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313.3% </w:t>
            </w:r>
          </w:p>
        </w:tc>
      </w:tr>
      <w:tr w:rsidR="003F38AB" w:rsidTr="003F38AB">
        <w:tc>
          <w:tcPr>
            <w:tcW w:w="648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82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Income tax</w:t>
            </w:r>
          </w:p>
        </w:tc>
        <w:tc>
          <w:tcPr>
            <w:tcW w:w="1915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1915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93,934</w:t>
            </w:r>
          </w:p>
        </w:tc>
        <w:tc>
          <w:tcPr>
            <w:tcW w:w="1916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234.8%</w:t>
            </w:r>
          </w:p>
        </w:tc>
      </w:tr>
      <w:tr w:rsidR="003F38AB" w:rsidTr="003F38AB">
        <w:tc>
          <w:tcPr>
            <w:tcW w:w="648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82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915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1915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475,086</w:t>
            </w:r>
          </w:p>
        </w:tc>
        <w:tc>
          <w:tcPr>
            <w:tcW w:w="1916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316.7%</w:t>
            </w:r>
          </w:p>
        </w:tc>
      </w:tr>
      <w:tr w:rsidR="003F38AB" w:rsidTr="00E830E2">
        <w:tc>
          <w:tcPr>
            <w:tcW w:w="9576" w:type="dxa"/>
            <w:gridSpan w:val="5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Consolidated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financial statement </w:t>
            </w:r>
          </w:p>
        </w:tc>
      </w:tr>
      <w:tr w:rsidR="003F38AB" w:rsidTr="003F38AB">
        <w:tc>
          <w:tcPr>
            <w:tcW w:w="648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82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915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3,000,000</w:t>
            </w:r>
          </w:p>
        </w:tc>
        <w:tc>
          <w:tcPr>
            <w:tcW w:w="1915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4,339,741</w:t>
            </w:r>
          </w:p>
        </w:tc>
        <w:tc>
          <w:tcPr>
            <w:tcW w:w="1916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144.6%</w:t>
            </w:r>
          </w:p>
        </w:tc>
      </w:tr>
      <w:tr w:rsidR="003F38AB" w:rsidTr="003F38AB">
        <w:tc>
          <w:tcPr>
            <w:tcW w:w="648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82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915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250,000</w:t>
            </w:r>
          </w:p>
        </w:tc>
        <w:tc>
          <w:tcPr>
            <w:tcW w:w="1915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809,029</w:t>
            </w:r>
          </w:p>
        </w:tc>
        <w:tc>
          <w:tcPr>
            <w:tcW w:w="1916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323.6%</w:t>
            </w:r>
          </w:p>
        </w:tc>
      </w:tr>
      <w:tr w:rsidR="003F38AB" w:rsidTr="003F38AB">
        <w:tc>
          <w:tcPr>
            <w:tcW w:w="648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82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915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  <w:tc>
          <w:tcPr>
            <w:tcW w:w="1915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645,474</w:t>
            </w:r>
          </w:p>
        </w:tc>
        <w:tc>
          <w:tcPr>
            <w:tcW w:w="1916" w:type="dxa"/>
          </w:tcPr>
          <w:p w:rsidR="003F38AB" w:rsidRDefault="003F38AB" w:rsidP="003F38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322.7%</w:t>
            </w:r>
          </w:p>
        </w:tc>
      </w:tr>
    </w:tbl>
    <w:p w:rsidR="003F38AB" w:rsidRDefault="003F38AB" w:rsidP="003F38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8AB" w:rsidRDefault="003F38AB" w:rsidP="003F38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8AB">
        <w:rPr>
          <w:rFonts w:ascii="Arial" w:hAnsi="Arial" w:cs="Arial"/>
          <w:sz w:val="20"/>
          <w:szCs w:val="20"/>
        </w:rPr>
        <w:t>Article 3: Approve the 2019 separate and consolidated financial statements of the Company audited by Ernst</w:t>
      </w:r>
      <w:r>
        <w:rPr>
          <w:rFonts w:ascii="Arial" w:hAnsi="Arial" w:cs="Arial"/>
          <w:sz w:val="20"/>
          <w:szCs w:val="20"/>
        </w:rPr>
        <w:t xml:space="preserve"> &amp; Young Vietnam Co., Ltd. (EY)</w:t>
      </w:r>
    </w:p>
    <w:p w:rsidR="003F38AB" w:rsidRDefault="003F38AB" w:rsidP="003F38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8AB">
        <w:rPr>
          <w:rFonts w:ascii="Arial" w:hAnsi="Arial" w:cs="Arial"/>
          <w:sz w:val="20"/>
          <w:szCs w:val="20"/>
        </w:rPr>
        <w:t xml:space="preserve">Article 4: </w:t>
      </w:r>
      <w:r>
        <w:rPr>
          <w:rFonts w:ascii="Arial" w:hAnsi="Arial" w:cs="Arial"/>
          <w:sz w:val="20"/>
          <w:szCs w:val="20"/>
        </w:rPr>
        <w:t>Approve authorizing</w:t>
      </w:r>
      <w:r w:rsidRPr="003F38AB">
        <w:rPr>
          <w:rFonts w:ascii="Arial" w:hAnsi="Arial" w:cs="Arial"/>
          <w:sz w:val="20"/>
          <w:szCs w:val="20"/>
        </w:rPr>
        <w:t xml:space="preserve"> the Board of Directors to select an independent audit unit to audit the Company's fina</w:t>
      </w:r>
      <w:r>
        <w:rPr>
          <w:rFonts w:ascii="Arial" w:hAnsi="Arial" w:cs="Arial"/>
          <w:sz w:val="20"/>
          <w:szCs w:val="20"/>
        </w:rPr>
        <w:t>ncial statement</w:t>
      </w:r>
      <w:r w:rsidRPr="003F38AB">
        <w:rPr>
          <w:rFonts w:ascii="Arial" w:hAnsi="Arial" w:cs="Arial"/>
          <w:sz w:val="20"/>
          <w:szCs w:val="20"/>
        </w:rPr>
        <w:t xml:space="preserve"> in 2020, including 4 auditing companies: </w:t>
      </w:r>
    </w:p>
    <w:p w:rsidR="003F38AB" w:rsidRDefault="003F38AB" w:rsidP="003F38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8AB">
        <w:rPr>
          <w:rFonts w:ascii="Arial" w:hAnsi="Arial" w:cs="Arial"/>
          <w:sz w:val="20"/>
          <w:szCs w:val="20"/>
        </w:rPr>
        <w:t>- Ern</w:t>
      </w:r>
      <w:r>
        <w:rPr>
          <w:rFonts w:ascii="Arial" w:hAnsi="Arial" w:cs="Arial"/>
          <w:sz w:val="20"/>
          <w:szCs w:val="20"/>
        </w:rPr>
        <w:t>st &amp; Young Vietnam Co., Ltd (</w:t>
      </w:r>
      <w:r w:rsidRPr="003F38AB">
        <w:rPr>
          <w:rFonts w:ascii="Arial" w:hAnsi="Arial" w:cs="Arial"/>
          <w:sz w:val="20"/>
          <w:szCs w:val="20"/>
        </w:rPr>
        <w:t xml:space="preserve">EY) </w:t>
      </w:r>
    </w:p>
    <w:p w:rsidR="003F38AB" w:rsidRDefault="003F38AB" w:rsidP="003F38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8AB">
        <w:rPr>
          <w:rFonts w:ascii="Arial" w:hAnsi="Arial" w:cs="Arial"/>
          <w:sz w:val="20"/>
          <w:szCs w:val="20"/>
        </w:rPr>
        <w:t xml:space="preserve">- Deloitte Vietnam Co., Ltd </w:t>
      </w:r>
    </w:p>
    <w:p w:rsidR="003F38AB" w:rsidRDefault="003F38AB" w:rsidP="003F38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8AB">
        <w:rPr>
          <w:rFonts w:ascii="Arial" w:hAnsi="Arial" w:cs="Arial"/>
          <w:sz w:val="20"/>
          <w:szCs w:val="20"/>
        </w:rPr>
        <w:t xml:space="preserve">- AFC Vietnam Auditing Company Limited </w:t>
      </w:r>
    </w:p>
    <w:p w:rsidR="003F38AB" w:rsidRDefault="003F38AB" w:rsidP="003F38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8AB">
        <w:rPr>
          <w:rFonts w:ascii="Arial" w:hAnsi="Arial" w:cs="Arial"/>
          <w:sz w:val="20"/>
          <w:szCs w:val="20"/>
        </w:rPr>
        <w:lastRenderedPageBreak/>
        <w:t xml:space="preserve">- AASC Auditing </w:t>
      </w:r>
      <w:r>
        <w:rPr>
          <w:rFonts w:ascii="Arial" w:hAnsi="Arial" w:cs="Arial"/>
          <w:sz w:val="20"/>
          <w:szCs w:val="20"/>
        </w:rPr>
        <w:t xml:space="preserve">Firm </w:t>
      </w:r>
      <w:r w:rsidRPr="003F38AB">
        <w:rPr>
          <w:rFonts w:ascii="Arial" w:hAnsi="Arial" w:cs="Arial"/>
          <w:sz w:val="20"/>
          <w:szCs w:val="20"/>
        </w:rPr>
        <w:t xml:space="preserve">Company Limited </w:t>
      </w:r>
    </w:p>
    <w:p w:rsidR="003F38AB" w:rsidRPr="003F38AB" w:rsidRDefault="003F38AB" w:rsidP="003F38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8AB">
        <w:rPr>
          <w:rFonts w:ascii="Arial" w:hAnsi="Arial" w:cs="Arial"/>
          <w:sz w:val="20"/>
          <w:szCs w:val="20"/>
        </w:rPr>
        <w:t xml:space="preserve">Article 5: Approve the remuneration for the Board of Directors, the Supervisory Board in 2019 and the plan </w:t>
      </w:r>
      <w:r w:rsidR="00BE3B72">
        <w:rPr>
          <w:rFonts w:ascii="Arial" w:hAnsi="Arial" w:cs="Arial"/>
          <w:sz w:val="20"/>
          <w:szCs w:val="20"/>
        </w:rPr>
        <w:t>on</w:t>
      </w:r>
      <w:r w:rsidRPr="003F38AB">
        <w:rPr>
          <w:rFonts w:ascii="Arial" w:hAnsi="Arial" w:cs="Arial"/>
          <w:sz w:val="20"/>
          <w:szCs w:val="20"/>
        </w:rPr>
        <w:t xml:space="preserve"> remuneration </w:t>
      </w:r>
      <w:r w:rsidR="00BE3B72" w:rsidRPr="003F38AB">
        <w:rPr>
          <w:rFonts w:ascii="Arial" w:hAnsi="Arial" w:cs="Arial"/>
          <w:sz w:val="20"/>
          <w:szCs w:val="20"/>
        </w:rPr>
        <w:t xml:space="preserve">payment </w:t>
      </w:r>
      <w:r w:rsidR="00BE3B72">
        <w:rPr>
          <w:rFonts w:ascii="Arial" w:hAnsi="Arial" w:cs="Arial"/>
          <w:sz w:val="20"/>
          <w:szCs w:val="20"/>
        </w:rPr>
        <w:t>to</w:t>
      </w:r>
      <w:r w:rsidRPr="003F38AB">
        <w:rPr>
          <w:rFonts w:ascii="Arial" w:hAnsi="Arial" w:cs="Arial"/>
          <w:sz w:val="20"/>
          <w:szCs w:val="20"/>
        </w:rPr>
        <w:t xml:space="preserve"> the Board of Directors and the </w:t>
      </w:r>
      <w:r w:rsidR="00BE3B72">
        <w:rPr>
          <w:rFonts w:ascii="Arial" w:hAnsi="Arial" w:cs="Arial"/>
          <w:sz w:val="20"/>
          <w:szCs w:val="20"/>
        </w:rPr>
        <w:t>Supervisor Board</w:t>
      </w:r>
      <w:r w:rsidRPr="003F38AB">
        <w:rPr>
          <w:rFonts w:ascii="Arial" w:hAnsi="Arial" w:cs="Arial"/>
          <w:sz w:val="20"/>
          <w:szCs w:val="20"/>
        </w:rPr>
        <w:t xml:space="preserve"> in 2020: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073"/>
        <w:gridCol w:w="2250"/>
        <w:gridCol w:w="2070"/>
        <w:gridCol w:w="2268"/>
      </w:tblGrid>
      <w:tr w:rsidR="00BE3B72" w:rsidTr="00BE3B72">
        <w:tc>
          <w:tcPr>
            <w:tcW w:w="1915" w:type="dxa"/>
            <w:vMerge w:val="restart"/>
          </w:tcPr>
          <w:p w:rsidR="00BE3B72" w:rsidRDefault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073" w:type="dxa"/>
            <w:vMerge w:val="restart"/>
          </w:tcPr>
          <w:p w:rsidR="00BE3B72" w:rsidRDefault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320" w:type="dxa"/>
            <w:gridSpan w:val="2"/>
          </w:tcPr>
          <w:p w:rsidR="00BE3B72" w:rsidRDefault="00BE3B72" w:rsidP="00BE3B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in 2019</w:t>
            </w:r>
          </w:p>
        </w:tc>
        <w:tc>
          <w:tcPr>
            <w:tcW w:w="2268" w:type="dxa"/>
            <w:vMerge w:val="restart"/>
          </w:tcPr>
          <w:p w:rsidR="00BE3B72" w:rsidRDefault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</w:tr>
      <w:tr w:rsidR="00BE3B72" w:rsidTr="00BE3B72">
        <w:tc>
          <w:tcPr>
            <w:tcW w:w="1915" w:type="dxa"/>
            <w:vMerge/>
          </w:tcPr>
          <w:p w:rsidR="00BE3B72" w:rsidRDefault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BE3B72" w:rsidRDefault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E3B72" w:rsidRDefault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Mandate 2019</w:t>
            </w:r>
          </w:p>
        </w:tc>
        <w:tc>
          <w:tcPr>
            <w:tcW w:w="2070" w:type="dxa"/>
          </w:tcPr>
          <w:p w:rsidR="00BE3B72" w:rsidRDefault="00BE3B72" w:rsidP="00BE3B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Paid</w:t>
            </w:r>
          </w:p>
        </w:tc>
        <w:tc>
          <w:tcPr>
            <w:tcW w:w="2268" w:type="dxa"/>
            <w:vMerge/>
          </w:tcPr>
          <w:p w:rsidR="00BE3B72" w:rsidRDefault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B72" w:rsidTr="00BE3B72">
        <w:tc>
          <w:tcPr>
            <w:tcW w:w="1915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the Board of Directors </w:t>
            </w:r>
          </w:p>
        </w:tc>
        <w:tc>
          <w:tcPr>
            <w:tcW w:w="1073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60,000,000</w:t>
            </w:r>
          </w:p>
        </w:tc>
        <w:tc>
          <w:tcPr>
            <w:tcW w:w="2070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60,000,000</w:t>
            </w:r>
          </w:p>
        </w:tc>
        <w:tc>
          <w:tcPr>
            <w:tcW w:w="2268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60,000,000</w:t>
            </w:r>
          </w:p>
        </w:tc>
      </w:tr>
      <w:tr w:rsidR="00BE3B72" w:rsidTr="00BE3B72">
        <w:tc>
          <w:tcPr>
            <w:tcW w:w="1915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Board of Directors </w:t>
            </w:r>
          </w:p>
        </w:tc>
        <w:tc>
          <w:tcPr>
            <w:tcW w:w="1073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180,000,000</w:t>
            </w:r>
          </w:p>
        </w:tc>
        <w:tc>
          <w:tcPr>
            <w:tcW w:w="2070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180,000,000</w:t>
            </w:r>
          </w:p>
        </w:tc>
        <w:tc>
          <w:tcPr>
            <w:tcW w:w="2268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180,000,000</w:t>
            </w:r>
          </w:p>
        </w:tc>
      </w:tr>
      <w:tr w:rsidR="00BE3B72" w:rsidTr="00BE3B72">
        <w:tc>
          <w:tcPr>
            <w:tcW w:w="1915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Secretary of the Board of Directors </w:t>
            </w:r>
          </w:p>
        </w:tc>
        <w:tc>
          <w:tcPr>
            <w:tcW w:w="1073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24,000,000</w:t>
            </w:r>
          </w:p>
        </w:tc>
        <w:tc>
          <w:tcPr>
            <w:tcW w:w="2070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24,000,000</w:t>
            </w:r>
          </w:p>
        </w:tc>
        <w:tc>
          <w:tcPr>
            <w:tcW w:w="2268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24,000,000</w:t>
            </w:r>
          </w:p>
        </w:tc>
      </w:tr>
      <w:tr w:rsidR="00BE3B72" w:rsidTr="00BE3B72">
        <w:tc>
          <w:tcPr>
            <w:tcW w:w="1915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Supervisor Board </w:t>
            </w:r>
          </w:p>
        </w:tc>
        <w:tc>
          <w:tcPr>
            <w:tcW w:w="1073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72,000,000</w:t>
            </w:r>
          </w:p>
        </w:tc>
        <w:tc>
          <w:tcPr>
            <w:tcW w:w="2070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72,000,000</w:t>
            </w:r>
          </w:p>
        </w:tc>
        <w:tc>
          <w:tcPr>
            <w:tcW w:w="2268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72,000,000</w:t>
            </w:r>
          </w:p>
        </w:tc>
      </w:tr>
      <w:tr w:rsidR="00BE3B72" w:rsidTr="00BE3B72">
        <w:tc>
          <w:tcPr>
            <w:tcW w:w="1915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073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336,000,000</w:t>
            </w:r>
          </w:p>
        </w:tc>
        <w:tc>
          <w:tcPr>
            <w:tcW w:w="2070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336,000,000</w:t>
            </w:r>
          </w:p>
        </w:tc>
        <w:tc>
          <w:tcPr>
            <w:tcW w:w="2268" w:type="dxa"/>
          </w:tcPr>
          <w:p w:rsidR="00BE3B72" w:rsidRDefault="00BE3B72" w:rsidP="00BE3B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336,000,000</w:t>
            </w:r>
          </w:p>
        </w:tc>
      </w:tr>
    </w:tbl>
    <w:p w:rsidR="003F38AB" w:rsidRDefault="003F38AB" w:rsidP="00BE3B72">
      <w:pPr>
        <w:rPr>
          <w:rFonts w:ascii="Arial" w:hAnsi="Arial" w:cs="Arial"/>
          <w:sz w:val="20"/>
          <w:szCs w:val="20"/>
        </w:rPr>
      </w:pPr>
    </w:p>
    <w:p w:rsidR="00BE3B72" w:rsidRDefault="00BE3B72" w:rsidP="00BE3B7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BE3B72">
        <w:rPr>
          <w:rFonts w:ascii="Arial" w:hAnsi="Arial" w:cs="Arial"/>
          <w:sz w:val="20"/>
          <w:szCs w:val="20"/>
        </w:rPr>
        <w:t xml:space="preserve">Article 6: Approve the plan for profit distribution and </w:t>
      </w:r>
      <w:r>
        <w:rPr>
          <w:rFonts w:ascii="Arial" w:hAnsi="Arial" w:cs="Arial"/>
          <w:sz w:val="20"/>
          <w:szCs w:val="20"/>
        </w:rPr>
        <w:t xml:space="preserve">extraction to </w:t>
      </w:r>
      <w:r w:rsidRPr="00BE3B72">
        <w:rPr>
          <w:rFonts w:ascii="Arial" w:hAnsi="Arial" w:cs="Arial"/>
          <w:sz w:val="20"/>
          <w:szCs w:val="20"/>
        </w:rPr>
        <w:t>fund</w:t>
      </w:r>
      <w:r>
        <w:rPr>
          <w:rFonts w:ascii="Arial" w:hAnsi="Arial" w:cs="Arial"/>
          <w:sz w:val="20"/>
          <w:szCs w:val="20"/>
        </w:rPr>
        <w:t>s</w:t>
      </w:r>
      <w:r w:rsidRPr="00BE3B72">
        <w:rPr>
          <w:rFonts w:ascii="Arial" w:hAnsi="Arial" w:cs="Arial"/>
          <w:sz w:val="20"/>
          <w:szCs w:val="20"/>
        </w:rPr>
        <w:t xml:space="preserve"> in 2019 as follows:</w:t>
      </w:r>
    </w:p>
    <w:p w:rsidR="00BE3B72" w:rsidRDefault="00BE3B72" w:rsidP="00BE3B72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2430"/>
        <w:gridCol w:w="2358"/>
      </w:tblGrid>
      <w:tr w:rsidR="00BE3B72" w:rsidTr="00270242">
        <w:tc>
          <w:tcPr>
            <w:tcW w:w="558" w:type="dxa"/>
          </w:tcPr>
          <w:p w:rsidR="00BE3B72" w:rsidRDefault="00BE3B7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30" w:type="dxa"/>
          </w:tcPr>
          <w:p w:rsidR="00BE3B72" w:rsidRDefault="00BE3B7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2430" w:type="dxa"/>
          </w:tcPr>
          <w:p w:rsidR="00BE3B72" w:rsidRDefault="00BE3B7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Criteria</w:t>
            </w:r>
          </w:p>
        </w:tc>
        <w:tc>
          <w:tcPr>
            <w:tcW w:w="2358" w:type="dxa"/>
          </w:tcPr>
          <w:p w:rsidR="00BE3B72" w:rsidRDefault="00BE3B7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BE3B72" w:rsidTr="00270242">
        <w:tc>
          <w:tcPr>
            <w:tcW w:w="558" w:type="dxa"/>
          </w:tcPr>
          <w:p w:rsidR="00BE3B72" w:rsidRDefault="00BE3B7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BE3B72" w:rsidRDefault="00BE3B7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Profit after tax a</w:t>
            </w:r>
            <w:r>
              <w:rPr>
                <w:rFonts w:ascii="Arial" w:hAnsi="Arial" w:cs="Arial"/>
                <w:sz w:val="20"/>
                <w:szCs w:val="20"/>
              </w:rPr>
              <w:t>ccording to financial statement</w:t>
            </w:r>
            <w:r w:rsidRPr="00BE3B72">
              <w:rPr>
                <w:rFonts w:ascii="Arial" w:hAnsi="Arial" w:cs="Arial"/>
                <w:sz w:val="20"/>
                <w:szCs w:val="20"/>
              </w:rPr>
              <w:t xml:space="preserve"> in 2019</w:t>
            </w:r>
          </w:p>
        </w:tc>
        <w:tc>
          <w:tcPr>
            <w:tcW w:w="2430" w:type="dxa"/>
          </w:tcPr>
          <w:p w:rsidR="00BE3B72" w:rsidRDefault="00BE3B7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358" w:type="dxa"/>
          </w:tcPr>
          <w:p w:rsidR="00BE3B72" w:rsidRDefault="00BE3B7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475,085,596,715</w:t>
            </w:r>
          </w:p>
        </w:tc>
      </w:tr>
      <w:tr w:rsidR="00BE3B72" w:rsidTr="00270242">
        <w:tc>
          <w:tcPr>
            <w:tcW w:w="558" w:type="dxa"/>
          </w:tcPr>
          <w:p w:rsidR="00BE3B72" w:rsidRDefault="00BE3B7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BE3B72" w:rsidRDefault="00CA0AB7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</w:t>
            </w:r>
            <w:r w:rsidRPr="00BE3B72">
              <w:rPr>
                <w:rFonts w:ascii="Arial" w:hAnsi="Arial" w:cs="Arial"/>
                <w:sz w:val="20"/>
                <w:szCs w:val="20"/>
              </w:rPr>
              <w:t xml:space="preserve"> to bonus and welfare fund</w:t>
            </w:r>
          </w:p>
        </w:tc>
        <w:tc>
          <w:tcPr>
            <w:tcW w:w="2430" w:type="dxa"/>
          </w:tcPr>
          <w:p w:rsidR="00BE3B72" w:rsidRDefault="00CA0AB7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(2) </w:t>
            </w:r>
            <w:r w:rsidRPr="00BE3B72">
              <w:rPr>
                <w:rFonts w:ascii="Arial" w:hAnsi="Arial" w:cs="Arial"/>
                <w:sz w:val="20"/>
                <w:szCs w:val="20"/>
              </w:rPr>
              <w:t xml:space="preserve"> = (1) x 15%</w:t>
            </w:r>
          </w:p>
        </w:tc>
        <w:tc>
          <w:tcPr>
            <w:tcW w:w="2358" w:type="dxa"/>
          </w:tcPr>
          <w:p w:rsidR="00BE3B72" w:rsidRDefault="00CA0AB7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71,262,839,507</w:t>
            </w:r>
          </w:p>
        </w:tc>
      </w:tr>
      <w:tr w:rsidR="00BE3B72" w:rsidTr="00270242">
        <w:tc>
          <w:tcPr>
            <w:tcW w:w="558" w:type="dxa"/>
          </w:tcPr>
          <w:p w:rsidR="00BE3B72" w:rsidRDefault="00BE3B7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0" w:type="dxa"/>
          </w:tcPr>
          <w:p w:rsidR="00BE3B72" w:rsidRDefault="00CA0AB7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</w:t>
            </w:r>
            <w:r w:rsidRPr="00BE3B72">
              <w:rPr>
                <w:rFonts w:ascii="Arial" w:hAnsi="Arial" w:cs="Arial"/>
                <w:sz w:val="20"/>
                <w:szCs w:val="20"/>
              </w:rPr>
              <w:t xml:space="preserve"> to development investment fund  </w:t>
            </w:r>
          </w:p>
        </w:tc>
        <w:tc>
          <w:tcPr>
            <w:tcW w:w="2430" w:type="dxa"/>
          </w:tcPr>
          <w:p w:rsidR="00BE3B72" w:rsidRDefault="00CA0AB7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(3) = (1) x 40%</w:t>
            </w:r>
          </w:p>
        </w:tc>
        <w:tc>
          <w:tcPr>
            <w:tcW w:w="2358" w:type="dxa"/>
          </w:tcPr>
          <w:p w:rsidR="00BE3B72" w:rsidRDefault="00CA0AB7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190,034,238,686</w:t>
            </w:r>
          </w:p>
        </w:tc>
      </w:tr>
      <w:tr w:rsidR="00BE3B72" w:rsidTr="00270242">
        <w:tc>
          <w:tcPr>
            <w:tcW w:w="558" w:type="dxa"/>
          </w:tcPr>
          <w:p w:rsidR="00BE3B72" w:rsidRDefault="00BE3B7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30" w:type="dxa"/>
          </w:tcPr>
          <w:p w:rsidR="00BE3B72" w:rsidRDefault="00CA0AB7" w:rsidP="0027024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reward fund for</w:t>
            </w:r>
            <w:r w:rsidRPr="00BE3B7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270242">
              <w:rPr>
                <w:rFonts w:ascii="Arial" w:hAnsi="Arial" w:cs="Arial"/>
                <w:sz w:val="20"/>
                <w:szCs w:val="20"/>
              </w:rPr>
              <w:t>Management Board</w:t>
            </w:r>
            <w:r w:rsidRPr="00BE3B72">
              <w:rPr>
                <w:rFonts w:ascii="Arial" w:hAnsi="Arial" w:cs="Arial"/>
                <w:sz w:val="20"/>
                <w:szCs w:val="20"/>
              </w:rPr>
              <w:t xml:space="preserve"> exceeding 5% of the plan</w:t>
            </w:r>
          </w:p>
        </w:tc>
        <w:tc>
          <w:tcPr>
            <w:tcW w:w="2430" w:type="dxa"/>
          </w:tcPr>
          <w:p w:rsidR="00BE3B72" w:rsidRDefault="00CA0AB7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(4) = (7)</w:t>
            </w:r>
          </w:p>
        </w:tc>
        <w:tc>
          <w:tcPr>
            <w:tcW w:w="2358" w:type="dxa"/>
          </w:tcPr>
          <w:p w:rsidR="00BE3B72" w:rsidRDefault="00CA0AB7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16,254,279,836</w:t>
            </w:r>
          </w:p>
        </w:tc>
      </w:tr>
      <w:tr w:rsidR="00BE3B72" w:rsidTr="00270242">
        <w:tc>
          <w:tcPr>
            <w:tcW w:w="558" w:type="dxa"/>
          </w:tcPr>
          <w:p w:rsidR="00BE3B72" w:rsidRDefault="00CA0AB7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30" w:type="dxa"/>
          </w:tcPr>
          <w:p w:rsidR="00BE3B72" w:rsidRDefault="00CA0AB7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Profit after tax plan</w:t>
            </w:r>
          </w:p>
        </w:tc>
        <w:tc>
          <w:tcPr>
            <w:tcW w:w="2430" w:type="dxa"/>
          </w:tcPr>
          <w:p w:rsidR="00BE3B72" w:rsidRDefault="00CA0AB7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2358" w:type="dxa"/>
          </w:tcPr>
          <w:p w:rsidR="00BE3B72" w:rsidRDefault="0027024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150,000,000,000</w:t>
            </w:r>
          </w:p>
        </w:tc>
      </w:tr>
      <w:tr w:rsidR="00BE3B72" w:rsidTr="00270242">
        <w:tc>
          <w:tcPr>
            <w:tcW w:w="558" w:type="dxa"/>
          </w:tcPr>
          <w:p w:rsidR="00BE3B72" w:rsidRDefault="00CA0AB7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30" w:type="dxa"/>
          </w:tcPr>
          <w:p w:rsidR="00BE3B72" w:rsidRDefault="00CA0AB7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Profit exceeding the plan</w:t>
            </w:r>
          </w:p>
        </w:tc>
        <w:tc>
          <w:tcPr>
            <w:tcW w:w="2430" w:type="dxa"/>
          </w:tcPr>
          <w:p w:rsidR="00BE3B72" w:rsidRDefault="00CA0AB7" w:rsidP="00CA0AB7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 xml:space="preserve">(6) = (1)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E3B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2358" w:type="dxa"/>
          </w:tcPr>
          <w:p w:rsidR="00BE3B72" w:rsidRDefault="0027024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325,085,596,715</w:t>
            </w:r>
          </w:p>
        </w:tc>
      </w:tr>
      <w:tr w:rsidR="00BE3B72" w:rsidTr="00270242">
        <w:tc>
          <w:tcPr>
            <w:tcW w:w="558" w:type="dxa"/>
          </w:tcPr>
          <w:p w:rsidR="00BE3B72" w:rsidRDefault="00CA0AB7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30" w:type="dxa"/>
          </w:tcPr>
          <w:p w:rsidR="00BE3B72" w:rsidRDefault="00CA0AB7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Extracting 5% exceeding the plan</w:t>
            </w:r>
          </w:p>
        </w:tc>
        <w:tc>
          <w:tcPr>
            <w:tcW w:w="2430" w:type="dxa"/>
          </w:tcPr>
          <w:p w:rsidR="00BE3B72" w:rsidRDefault="002D73E1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(7) = (6) x 5%</w:t>
            </w:r>
          </w:p>
        </w:tc>
        <w:tc>
          <w:tcPr>
            <w:tcW w:w="2358" w:type="dxa"/>
          </w:tcPr>
          <w:p w:rsidR="00BE3B72" w:rsidRDefault="0027024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16,254,279,836</w:t>
            </w:r>
          </w:p>
        </w:tc>
      </w:tr>
      <w:tr w:rsidR="00BE3B72" w:rsidTr="00270242">
        <w:tc>
          <w:tcPr>
            <w:tcW w:w="558" w:type="dxa"/>
          </w:tcPr>
          <w:p w:rsidR="00BE3B72" w:rsidRDefault="0027024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30" w:type="dxa"/>
          </w:tcPr>
          <w:p w:rsidR="00BE3B72" w:rsidRDefault="0027024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for 2019 (19%)</w:t>
            </w:r>
          </w:p>
        </w:tc>
        <w:tc>
          <w:tcPr>
            <w:tcW w:w="2430" w:type="dxa"/>
          </w:tcPr>
          <w:p w:rsidR="00BE3B72" w:rsidRDefault="0027024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2358" w:type="dxa"/>
          </w:tcPr>
          <w:p w:rsidR="00BE3B72" w:rsidRDefault="0027024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131,191,570,500</w:t>
            </w:r>
          </w:p>
        </w:tc>
      </w:tr>
      <w:tr w:rsidR="002D73E1" w:rsidTr="00270242">
        <w:tc>
          <w:tcPr>
            <w:tcW w:w="558" w:type="dxa"/>
          </w:tcPr>
          <w:p w:rsidR="002D73E1" w:rsidRDefault="0027024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30" w:type="dxa"/>
          </w:tcPr>
          <w:p w:rsidR="002D73E1" w:rsidRDefault="00270242" w:rsidP="0027024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</w:t>
            </w:r>
            <w:r w:rsidRPr="00BE3B72">
              <w:rPr>
                <w:rFonts w:ascii="Arial" w:hAnsi="Arial" w:cs="Arial"/>
                <w:sz w:val="20"/>
                <w:szCs w:val="20"/>
              </w:rPr>
              <w:t>rofit after tax in 2019</w:t>
            </w:r>
          </w:p>
        </w:tc>
        <w:tc>
          <w:tcPr>
            <w:tcW w:w="2430" w:type="dxa"/>
          </w:tcPr>
          <w:p w:rsidR="002D73E1" w:rsidRDefault="0027024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 xml:space="preserve">(9) = (1) </w:t>
            </w:r>
            <w:r>
              <w:rPr>
                <w:rFonts w:ascii="Arial" w:hAnsi="Arial" w:cs="Arial"/>
                <w:sz w:val="20"/>
                <w:szCs w:val="20"/>
              </w:rPr>
              <w:t xml:space="preserve">- (2) - (3) - (4 </w:t>
            </w:r>
            <w:r w:rsidRPr="00BE3B72">
              <w:rPr>
                <w:rFonts w:ascii="Arial" w:hAnsi="Arial" w:cs="Arial"/>
                <w:sz w:val="20"/>
                <w:szCs w:val="20"/>
              </w:rPr>
              <w:t>)</w:t>
            </w:r>
            <w:r w:rsidRPr="00BE3B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E3B72">
              <w:rPr>
                <w:rFonts w:ascii="Arial" w:hAnsi="Arial" w:cs="Arial"/>
                <w:sz w:val="20"/>
                <w:szCs w:val="20"/>
              </w:rPr>
              <w:lastRenderedPageBreak/>
              <w:t>(8)</w:t>
            </w:r>
          </w:p>
        </w:tc>
        <w:tc>
          <w:tcPr>
            <w:tcW w:w="2358" w:type="dxa"/>
          </w:tcPr>
          <w:p w:rsidR="002D73E1" w:rsidRDefault="0027024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lastRenderedPageBreak/>
              <w:t>66,342,668,186</w:t>
            </w:r>
          </w:p>
        </w:tc>
      </w:tr>
      <w:tr w:rsidR="002D73E1" w:rsidTr="00270242">
        <w:tc>
          <w:tcPr>
            <w:tcW w:w="558" w:type="dxa"/>
          </w:tcPr>
          <w:p w:rsidR="002D73E1" w:rsidRDefault="0027024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230" w:type="dxa"/>
          </w:tcPr>
          <w:p w:rsidR="002D73E1" w:rsidRDefault="00270242" w:rsidP="0027024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Undistributed profit until</w:t>
            </w:r>
            <w:r w:rsidRPr="00BE3B72">
              <w:rPr>
                <w:rFonts w:ascii="Arial" w:hAnsi="Arial" w:cs="Arial"/>
                <w:sz w:val="20"/>
                <w:szCs w:val="20"/>
              </w:rPr>
              <w:t xml:space="preserve"> the end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previous </w:t>
            </w:r>
            <w:r w:rsidRPr="00BE3B72">
              <w:rPr>
                <w:rFonts w:ascii="Arial" w:hAnsi="Arial" w:cs="Arial"/>
                <w:sz w:val="20"/>
                <w:szCs w:val="20"/>
              </w:rPr>
              <w:t xml:space="preserve">year </w:t>
            </w:r>
          </w:p>
        </w:tc>
        <w:tc>
          <w:tcPr>
            <w:tcW w:w="2430" w:type="dxa"/>
          </w:tcPr>
          <w:p w:rsidR="002D73E1" w:rsidRDefault="0027024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2358" w:type="dxa"/>
          </w:tcPr>
          <w:p w:rsidR="002D73E1" w:rsidRDefault="0027024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104,076,461,629</w:t>
            </w:r>
          </w:p>
        </w:tc>
      </w:tr>
      <w:tr w:rsidR="002D73E1" w:rsidTr="00270242">
        <w:tc>
          <w:tcPr>
            <w:tcW w:w="558" w:type="dxa"/>
          </w:tcPr>
          <w:p w:rsidR="002D73E1" w:rsidRDefault="0027024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30" w:type="dxa"/>
          </w:tcPr>
          <w:p w:rsidR="002D73E1" w:rsidRDefault="00270242" w:rsidP="0027024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E3B72">
              <w:rPr>
                <w:rFonts w:ascii="Arial" w:hAnsi="Arial" w:cs="Arial"/>
                <w:sz w:val="20"/>
                <w:szCs w:val="20"/>
              </w:rPr>
              <w:t xml:space="preserve">emaining </w:t>
            </w:r>
            <w:r>
              <w:rPr>
                <w:rFonts w:ascii="Arial" w:hAnsi="Arial" w:cs="Arial"/>
                <w:sz w:val="20"/>
                <w:szCs w:val="20"/>
              </w:rPr>
              <w:t>after-tax profit after extracting to</w:t>
            </w:r>
            <w:r w:rsidRPr="00BE3B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funds and dividend payment for</w:t>
            </w:r>
            <w:r w:rsidRPr="00BE3B72">
              <w:rPr>
                <w:rFonts w:ascii="Arial" w:hAnsi="Arial" w:cs="Arial"/>
                <w:sz w:val="20"/>
                <w:szCs w:val="20"/>
              </w:rPr>
              <w:t xml:space="preserve"> 2019  </w:t>
            </w:r>
          </w:p>
        </w:tc>
        <w:tc>
          <w:tcPr>
            <w:tcW w:w="2430" w:type="dxa"/>
          </w:tcPr>
          <w:p w:rsidR="002D73E1" w:rsidRDefault="0027024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(11) = (9) + (10)</w:t>
            </w:r>
          </w:p>
        </w:tc>
        <w:tc>
          <w:tcPr>
            <w:tcW w:w="2358" w:type="dxa"/>
          </w:tcPr>
          <w:p w:rsidR="002D73E1" w:rsidRDefault="00270242" w:rsidP="00BE3B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E3B72">
              <w:rPr>
                <w:rFonts w:ascii="Arial" w:hAnsi="Arial" w:cs="Arial"/>
                <w:sz w:val="20"/>
                <w:szCs w:val="20"/>
              </w:rPr>
              <w:t>170,419,129,815</w:t>
            </w:r>
          </w:p>
        </w:tc>
      </w:tr>
    </w:tbl>
    <w:p w:rsidR="00BE3B72" w:rsidRDefault="00BE3B72" w:rsidP="00270242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270242" w:rsidRDefault="00270242" w:rsidP="0027024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270242">
        <w:rPr>
          <w:rFonts w:ascii="Arial" w:hAnsi="Arial" w:cs="Arial"/>
          <w:sz w:val="20"/>
          <w:szCs w:val="20"/>
        </w:rPr>
        <w:t xml:space="preserve">Article 7: </w:t>
      </w:r>
      <w:r>
        <w:rPr>
          <w:rFonts w:ascii="Arial" w:hAnsi="Arial" w:cs="Arial"/>
          <w:sz w:val="20"/>
          <w:szCs w:val="20"/>
        </w:rPr>
        <w:t>Approve the assigning the Board of Directors to pay the remaining dividend of 2019 (9%) in Q.III/ 2020 (</w:t>
      </w:r>
      <w:r w:rsidR="00936ABF">
        <w:rPr>
          <w:rFonts w:ascii="Arial" w:hAnsi="Arial" w:cs="Arial"/>
          <w:sz w:val="20"/>
          <w:szCs w:val="20"/>
        </w:rPr>
        <w:t xml:space="preserve">already </w:t>
      </w:r>
      <w:r>
        <w:rPr>
          <w:rFonts w:ascii="Arial" w:hAnsi="Arial" w:cs="Arial"/>
          <w:sz w:val="20"/>
          <w:szCs w:val="20"/>
        </w:rPr>
        <w:t>advanced</w:t>
      </w:r>
      <w:r w:rsidR="00936ABF">
        <w:rPr>
          <w:rFonts w:ascii="Arial" w:hAnsi="Arial" w:cs="Arial"/>
          <w:sz w:val="20"/>
          <w:szCs w:val="20"/>
        </w:rPr>
        <w:t xml:space="preserve"> 10%)</w:t>
      </w:r>
    </w:p>
    <w:p w:rsidR="00936ABF" w:rsidRDefault="00270242" w:rsidP="0027024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270242">
        <w:rPr>
          <w:rFonts w:ascii="Arial" w:hAnsi="Arial" w:cs="Arial"/>
          <w:sz w:val="20"/>
          <w:szCs w:val="20"/>
        </w:rPr>
        <w:t>Article 8: Approve the Company's production and business plan and dividend payment in 2</w:t>
      </w:r>
      <w:r w:rsidR="00936ABF">
        <w:rPr>
          <w:rFonts w:ascii="Arial" w:hAnsi="Arial" w:cs="Arial"/>
          <w:sz w:val="20"/>
          <w:szCs w:val="20"/>
        </w:rPr>
        <w:t>020 with the following main targets</w:t>
      </w:r>
      <w:r w:rsidRPr="00270242">
        <w:rPr>
          <w:rFonts w:ascii="Arial" w:hAnsi="Arial" w:cs="Arial"/>
          <w:sz w:val="20"/>
          <w:szCs w:val="20"/>
        </w:rPr>
        <w:t xml:space="preserve">: </w:t>
      </w:r>
    </w:p>
    <w:p w:rsidR="00936ABF" w:rsidRDefault="00270242" w:rsidP="0027024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270242">
        <w:rPr>
          <w:rFonts w:ascii="Arial" w:hAnsi="Arial" w:cs="Arial"/>
          <w:sz w:val="20"/>
          <w:szCs w:val="20"/>
        </w:rPr>
        <w:t xml:space="preserve">Unit: </w:t>
      </w:r>
      <w:r w:rsidR="00936ABF">
        <w:rPr>
          <w:rFonts w:ascii="Arial" w:hAnsi="Arial" w:cs="Arial"/>
          <w:sz w:val="20"/>
          <w:szCs w:val="20"/>
        </w:rPr>
        <w:t xml:space="preserve">VND </w:t>
      </w:r>
      <w:r w:rsidRPr="00270242">
        <w:rPr>
          <w:rFonts w:ascii="Arial" w:hAnsi="Arial" w:cs="Arial"/>
          <w:sz w:val="20"/>
          <w:szCs w:val="20"/>
        </w:rPr>
        <w:t xml:space="preserve">million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3763"/>
        <w:gridCol w:w="2283"/>
        <w:gridCol w:w="2232"/>
      </w:tblGrid>
      <w:tr w:rsidR="00936ABF" w:rsidTr="00936ABF">
        <w:tc>
          <w:tcPr>
            <w:tcW w:w="1298" w:type="dxa"/>
          </w:tcPr>
          <w:p w:rsidR="00936ABF" w:rsidRDefault="00936ABF" w:rsidP="0027024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763" w:type="dxa"/>
          </w:tcPr>
          <w:p w:rsidR="00936ABF" w:rsidRDefault="00936ABF" w:rsidP="0027024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283" w:type="dxa"/>
          </w:tcPr>
          <w:p w:rsidR="00936ABF" w:rsidRDefault="00936ABF" w:rsidP="0027024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2232" w:type="dxa"/>
          </w:tcPr>
          <w:p w:rsidR="00936ABF" w:rsidRDefault="00936ABF" w:rsidP="0027024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</w:tr>
      <w:tr w:rsidR="00936ABF" w:rsidTr="00ED56C6">
        <w:tc>
          <w:tcPr>
            <w:tcW w:w="9576" w:type="dxa"/>
            <w:gridSpan w:val="4"/>
          </w:tcPr>
          <w:p w:rsidR="00936ABF" w:rsidRDefault="00936ABF" w:rsidP="0027024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Separate financial statement </w:t>
            </w:r>
          </w:p>
        </w:tc>
      </w:tr>
      <w:tr w:rsidR="00936ABF" w:rsidTr="00936ABF">
        <w:tc>
          <w:tcPr>
            <w:tcW w:w="1298" w:type="dxa"/>
          </w:tcPr>
          <w:p w:rsidR="00936ABF" w:rsidRDefault="00936ABF" w:rsidP="0093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3" w:type="dxa"/>
          </w:tcPr>
          <w:p w:rsidR="00936ABF" w:rsidRDefault="00936ABF" w:rsidP="0093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2283" w:type="dxa"/>
          </w:tcPr>
          <w:p w:rsidR="00936ABF" w:rsidRDefault="00936ABF" w:rsidP="0093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3,288,963</w:t>
            </w:r>
          </w:p>
        </w:tc>
        <w:tc>
          <w:tcPr>
            <w:tcW w:w="2232" w:type="dxa"/>
          </w:tcPr>
          <w:p w:rsidR="00936ABF" w:rsidRDefault="00936ABF" w:rsidP="00936AB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70242">
              <w:rPr>
                <w:rFonts w:ascii="Arial" w:hAnsi="Arial" w:cs="Arial"/>
                <w:sz w:val="20"/>
                <w:szCs w:val="20"/>
              </w:rPr>
              <w:t>,296,000</w:t>
            </w:r>
          </w:p>
        </w:tc>
      </w:tr>
      <w:tr w:rsidR="00936ABF" w:rsidTr="00936ABF">
        <w:tc>
          <w:tcPr>
            <w:tcW w:w="1298" w:type="dxa"/>
          </w:tcPr>
          <w:p w:rsidR="00936ABF" w:rsidRDefault="00936ABF" w:rsidP="0093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63" w:type="dxa"/>
          </w:tcPr>
          <w:p w:rsidR="00936ABF" w:rsidRDefault="00936ABF" w:rsidP="0093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2283" w:type="dxa"/>
          </w:tcPr>
          <w:p w:rsidR="00936ABF" w:rsidRDefault="00936ABF" w:rsidP="0093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587,433</w:t>
            </w:r>
          </w:p>
        </w:tc>
        <w:tc>
          <w:tcPr>
            <w:tcW w:w="2232" w:type="dxa"/>
          </w:tcPr>
          <w:p w:rsidR="00936ABF" w:rsidRDefault="00936ABF" w:rsidP="00936AB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70242">
              <w:rPr>
                <w:rFonts w:ascii="Arial" w:hAnsi="Arial" w:cs="Arial"/>
                <w:sz w:val="20"/>
                <w:szCs w:val="20"/>
              </w:rPr>
              <w:t>225,000</w:t>
            </w:r>
          </w:p>
        </w:tc>
      </w:tr>
      <w:tr w:rsidR="00936ABF" w:rsidTr="00936ABF">
        <w:tc>
          <w:tcPr>
            <w:tcW w:w="1298" w:type="dxa"/>
          </w:tcPr>
          <w:p w:rsidR="00936ABF" w:rsidRDefault="00936ABF" w:rsidP="0093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63" w:type="dxa"/>
          </w:tcPr>
          <w:p w:rsidR="00936ABF" w:rsidRDefault="00936ABF" w:rsidP="0093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Income tax</w:t>
            </w:r>
          </w:p>
        </w:tc>
        <w:tc>
          <w:tcPr>
            <w:tcW w:w="2283" w:type="dxa"/>
          </w:tcPr>
          <w:p w:rsidR="00936ABF" w:rsidRDefault="00936ABF" w:rsidP="0093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112,348</w:t>
            </w:r>
          </w:p>
        </w:tc>
        <w:tc>
          <w:tcPr>
            <w:tcW w:w="2232" w:type="dxa"/>
          </w:tcPr>
          <w:p w:rsidR="00936ABF" w:rsidRDefault="00936ABF" w:rsidP="00936AB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70242">
              <w:rPr>
                <w:rFonts w:ascii="Arial" w:hAnsi="Arial" w:cs="Arial"/>
                <w:sz w:val="20"/>
                <w:szCs w:val="20"/>
              </w:rPr>
              <w:t>45,000</w:t>
            </w:r>
          </w:p>
        </w:tc>
      </w:tr>
      <w:tr w:rsidR="00936ABF" w:rsidTr="00936ABF">
        <w:tc>
          <w:tcPr>
            <w:tcW w:w="1298" w:type="dxa"/>
          </w:tcPr>
          <w:p w:rsidR="00936ABF" w:rsidRDefault="00936ABF" w:rsidP="0093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63" w:type="dxa"/>
          </w:tcPr>
          <w:p w:rsidR="00936ABF" w:rsidRDefault="00936ABF" w:rsidP="0093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2283" w:type="dxa"/>
          </w:tcPr>
          <w:p w:rsidR="00936ABF" w:rsidRDefault="00936ABF" w:rsidP="0093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475,085</w:t>
            </w:r>
          </w:p>
        </w:tc>
        <w:tc>
          <w:tcPr>
            <w:tcW w:w="2232" w:type="dxa"/>
          </w:tcPr>
          <w:p w:rsidR="00936ABF" w:rsidRDefault="00936ABF" w:rsidP="00936AB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70242">
              <w:rPr>
                <w:rFonts w:ascii="Arial" w:hAnsi="Arial" w:cs="Arial"/>
                <w:sz w:val="20"/>
                <w:szCs w:val="20"/>
              </w:rPr>
              <w:t>180,000</w:t>
            </w:r>
          </w:p>
        </w:tc>
      </w:tr>
      <w:tr w:rsidR="00936ABF" w:rsidTr="000A431B">
        <w:tc>
          <w:tcPr>
            <w:tcW w:w="9576" w:type="dxa"/>
            <w:gridSpan w:val="4"/>
          </w:tcPr>
          <w:p w:rsidR="00936ABF" w:rsidRDefault="00936ABF" w:rsidP="00936AB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Consolidated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financial statement </w:t>
            </w:r>
          </w:p>
        </w:tc>
      </w:tr>
      <w:tr w:rsidR="00936ABF" w:rsidTr="00936ABF">
        <w:tc>
          <w:tcPr>
            <w:tcW w:w="1298" w:type="dxa"/>
          </w:tcPr>
          <w:p w:rsidR="00936ABF" w:rsidRDefault="00936ABF" w:rsidP="0093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3" w:type="dxa"/>
          </w:tcPr>
          <w:p w:rsidR="00936ABF" w:rsidRDefault="00936ABF" w:rsidP="0093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2283" w:type="dxa"/>
          </w:tcPr>
          <w:p w:rsidR="00936ABF" w:rsidRDefault="00936ABF" w:rsidP="0093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4,</w:t>
            </w:r>
            <w:r>
              <w:rPr>
                <w:rFonts w:ascii="Arial" w:hAnsi="Arial" w:cs="Arial"/>
                <w:sz w:val="20"/>
                <w:szCs w:val="20"/>
              </w:rPr>
              <w:t>346,477</w:t>
            </w:r>
          </w:p>
        </w:tc>
        <w:tc>
          <w:tcPr>
            <w:tcW w:w="2232" w:type="dxa"/>
          </w:tcPr>
          <w:p w:rsidR="00936ABF" w:rsidRDefault="00936ABF" w:rsidP="00936AB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36ABF">
              <w:rPr>
                <w:rFonts w:ascii="Arial" w:hAnsi="Arial" w:cs="Arial"/>
                <w:sz w:val="20"/>
                <w:szCs w:val="20"/>
              </w:rPr>
              <w:t>3,370,000</w:t>
            </w:r>
          </w:p>
        </w:tc>
      </w:tr>
      <w:tr w:rsidR="00936ABF" w:rsidTr="00936ABF">
        <w:tc>
          <w:tcPr>
            <w:tcW w:w="1298" w:type="dxa"/>
          </w:tcPr>
          <w:p w:rsidR="00936ABF" w:rsidRDefault="00936ABF" w:rsidP="0093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63" w:type="dxa"/>
          </w:tcPr>
          <w:p w:rsidR="00936ABF" w:rsidRDefault="00936ABF" w:rsidP="0093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2283" w:type="dxa"/>
          </w:tcPr>
          <w:p w:rsidR="00936ABF" w:rsidRDefault="00936ABF" w:rsidP="0093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809,029</w:t>
            </w:r>
          </w:p>
        </w:tc>
        <w:tc>
          <w:tcPr>
            <w:tcW w:w="2232" w:type="dxa"/>
          </w:tcPr>
          <w:p w:rsidR="00936ABF" w:rsidRDefault="00936ABF" w:rsidP="00936AB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36ABF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</w:tr>
      <w:tr w:rsidR="00936ABF" w:rsidTr="00936ABF">
        <w:tc>
          <w:tcPr>
            <w:tcW w:w="1298" w:type="dxa"/>
          </w:tcPr>
          <w:p w:rsidR="00936ABF" w:rsidRDefault="00936ABF" w:rsidP="0093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63" w:type="dxa"/>
          </w:tcPr>
          <w:p w:rsidR="00936ABF" w:rsidRDefault="00936ABF" w:rsidP="0093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2283" w:type="dxa"/>
          </w:tcPr>
          <w:p w:rsidR="00936ABF" w:rsidRDefault="00936ABF" w:rsidP="0093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AB">
              <w:rPr>
                <w:rFonts w:ascii="Arial" w:hAnsi="Arial" w:cs="Arial"/>
                <w:sz w:val="20"/>
                <w:szCs w:val="20"/>
              </w:rPr>
              <w:t>645,474</w:t>
            </w:r>
          </w:p>
        </w:tc>
        <w:tc>
          <w:tcPr>
            <w:tcW w:w="2232" w:type="dxa"/>
          </w:tcPr>
          <w:p w:rsidR="00936ABF" w:rsidRDefault="00936ABF" w:rsidP="00936AB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36ABF">
              <w:rPr>
                <w:rFonts w:ascii="Arial" w:hAnsi="Arial" w:cs="Arial"/>
                <w:sz w:val="20"/>
                <w:szCs w:val="20"/>
              </w:rPr>
              <w:t>240,000</w:t>
            </w:r>
          </w:p>
        </w:tc>
      </w:tr>
      <w:tr w:rsidR="00936ABF" w:rsidTr="00F725EF">
        <w:tc>
          <w:tcPr>
            <w:tcW w:w="5061" w:type="dxa"/>
            <w:gridSpan w:val="2"/>
          </w:tcPr>
          <w:p w:rsidR="00936ABF" w:rsidRPr="003F38AB" w:rsidRDefault="00936ABF" w:rsidP="0093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ABF">
              <w:rPr>
                <w:rFonts w:ascii="Arial" w:hAnsi="Arial" w:cs="Arial"/>
                <w:sz w:val="20"/>
                <w:szCs w:val="20"/>
              </w:rPr>
              <w:t xml:space="preserve">Dividend payment in cash </w:t>
            </w:r>
          </w:p>
        </w:tc>
        <w:tc>
          <w:tcPr>
            <w:tcW w:w="2283" w:type="dxa"/>
          </w:tcPr>
          <w:p w:rsidR="00936ABF" w:rsidRPr="003F38AB" w:rsidRDefault="00936ABF" w:rsidP="0093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ABF">
              <w:rPr>
                <w:rFonts w:ascii="Arial" w:hAnsi="Arial" w:cs="Arial"/>
                <w:sz w:val="20"/>
                <w:szCs w:val="20"/>
              </w:rPr>
              <w:t>19%</w:t>
            </w:r>
            <w:r>
              <w:rPr>
                <w:rFonts w:ascii="Arial" w:hAnsi="Arial" w:cs="Arial"/>
                <w:sz w:val="20"/>
                <w:szCs w:val="20"/>
              </w:rPr>
              <w:t xml:space="preserve">/ charter capital </w:t>
            </w:r>
          </w:p>
        </w:tc>
        <w:tc>
          <w:tcPr>
            <w:tcW w:w="2232" w:type="dxa"/>
          </w:tcPr>
          <w:p w:rsidR="00936ABF" w:rsidRPr="00936ABF" w:rsidRDefault="00936ABF" w:rsidP="00936AB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36ABF">
              <w:rPr>
                <w:rFonts w:ascii="Arial" w:hAnsi="Arial" w:cs="Arial"/>
                <w:sz w:val="20"/>
                <w:szCs w:val="20"/>
              </w:rPr>
              <w:t>At least 20% of charter capital</w:t>
            </w:r>
          </w:p>
        </w:tc>
      </w:tr>
    </w:tbl>
    <w:p w:rsidR="00936ABF" w:rsidRDefault="00936ABF" w:rsidP="00936ABF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936ABF" w:rsidRDefault="00936ABF" w:rsidP="00936AB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936AB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annual General Meeting of Shareholders assigned the Board of Directors to decide the dividend advance for 2020</w:t>
      </w:r>
      <w:r w:rsidRPr="00936A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based </w:t>
      </w:r>
      <w:r w:rsidRPr="00936ABF">
        <w:rPr>
          <w:rFonts w:ascii="Arial" w:hAnsi="Arial" w:cs="Arial"/>
          <w:sz w:val="20"/>
          <w:szCs w:val="20"/>
        </w:rPr>
        <w:t xml:space="preserve">on the expected business results of 2020 </w:t>
      </w:r>
    </w:p>
    <w:p w:rsidR="00936ABF" w:rsidRDefault="00936ABF" w:rsidP="00936AB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936ABF">
        <w:rPr>
          <w:rFonts w:ascii="Arial" w:hAnsi="Arial" w:cs="Arial"/>
          <w:sz w:val="20"/>
          <w:szCs w:val="20"/>
        </w:rPr>
        <w:t xml:space="preserve">Article 9: </w:t>
      </w:r>
      <w:r>
        <w:rPr>
          <w:rFonts w:ascii="Arial" w:hAnsi="Arial" w:cs="Arial"/>
          <w:sz w:val="20"/>
          <w:szCs w:val="20"/>
        </w:rPr>
        <w:t xml:space="preserve">Approve </w:t>
      </w:r>
      <w:r w:rsidR="00E313AB">
        <w:rPr>
          <w:rFonts w:ascii="Arial" w:hAnsi="Arial" w:cs="Arial"/>
          <w:sz w:val="20"/>
          <w:szCs w:val="20"/>
        </w:rPr>
        <w:t>the change</w:t>
      </w:r>
      <w:r>
        <w:rPr>
          <w:rFonts w:ascii="Arial" w:hAnsi="Arial" w:cs="Arial"/>
          <w:sz w:val="20"/>
          <w:szCs w:val="20"/>
        </w:rPr>
        <w:t xml:space="preserve"> to the Charter of the Company as follows:</w:t>
      </w:r>
    </w:p>
    <w:p w:rsidR="00936ABF" w:rsidRDefault="00E313AB" w:rsidP="00936ABF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Before the change: Article 3: Legal representative is the General Director of the Company</w:t>
      </w:r>
    </w:p>
    <w:p w:rsidR="00E313AB" w:rsidRDefault="00E313AB" w:rsidP="00936ABF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After the change: </w:t>
      </w:r>
      <w:r>
        <w:rPr>
          <w:rFonts w:ascii="Arial" w:hAnsi="Arial" w:cs="Arial"/>
          <w:sz w:val="20"/>
          <w:szCs w:val="20"/>
        </w:rPr>
        <w:t xml:space="preserve">Article 3: Legal representative is </w:t>
      </w:r>
      <w:r>
        <w:rPr>
          <w:rFonts w:ascii="Arial" w:hAnsi="Arial" w:cs="Arial"/>
          <w:sz w:val="20"/>
          <w:szCs w:val="20"/>
        </w:rPr>
        <w:t xml:space="preserve">Chair of the Board of Directors and </w:t>
      </w:r>
      <w:r>
        <w:rPr>
          <w:rFonts w:ascii="Arial" w:hAnsi="Arial" w:cs="Arial"/>
          <w:sz w:val="20"/>
          <w:szCs w:val="20"/>
        </w:rPr>
        <w:t>the General Director of the Company</w:t>
      </w:r>
    </w:p>
    <w:p w:rsidR="00E313AB" w:rsidRDefault="00E313AB" w:rsidP="00E313AB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E313A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rticle 10: Approving the plan on</w:t>
      </w:r>
      <w:r w:rsidRPr="00E313AB">
        <w:rPr>
          <w:rFonts w:ascii="Arial" w:hAnsi="Arial" w:cs="Arial"/>
          <w:sz w:val="20"/>
          <w:szCs w:val="20"/>
        </w:rPr>
        <w:t xml:space="preserve"> increase</w:t>
      </w:r>
      <w:r>
        <w:rPr>
          <w:rFonts w:ascii="Arial" w:hAnsi="Arial" w:cs="Arial"/>
          <w:sz w:val="20"/>
          <w:szCs w:val="20"/>
        </w:rPr>
        <w:t xml:space="preserve"> in</w:t>
      </w:r>
      <w:r w:rsidRPr="00E313AB">
        <w:rPr>
          <w:rFonts w:ascii="Arial" w:hAnsi="Arial" w:cs="Arial"/>
          <w:sz w:val="20"/>
          <w:szCs w:val="20"/>
        </w:rPr>
        <w:t xml:space="preserve"> the charter capital of the Company by issuing shares to </w:t>
      </w:r>
      <w:r>
        <w:rPr>
          <w:rFonts w:ascii="Arial" w:hAnsi="Arial" w:cs="Arial"/>
          <w:sz w:val="20"/>
          <w:szCs w:val="20"/>
        </w:rPr>
        <w:t>reward</w:t>
      </w:r>
      <w:r w:rsidRPr="00E313AB">
        <w:rPr>
          <w:rFonts w:ascii="Arial" w:hAnsi="Arial" w:cs="Arial"/>
          <w:sz w:val="20"/>
          <w:szCs w:val="20"/>
        </w:rPr>
        <w:t xml:space="preserve"> shareholders, number of </w:t>
      </w:r>
      <w:r>
        <w:rPr>
          <w:rFonts w:ascii="Arial" w:hAnsi="Arial" w:cs="Arial"/>
          <w:sz w:val="20"/>
          <w:szCs w:val="20"/>
        </w:rPr>
        <w:t>shares to be issued: 10,357,229 shares. Details:</w:t>
      </w:r>
    </w:p>
    <w:p w:rsidR="00E313AB" w:rsidRDefault="00E313AB" w:rsidP="00E313AB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Stock name: Share of</w:t>
      </w:r>
      <w:r w:rsidRPr="00E313AB">
        <w:rPr>
          <w:rFonts w:ascii="Arial" w:hAnsi="Arial" w:cs="Arial"/>
          <w:sz w:val="20"/>
          <w:szCs w:val="20"/>
        </w:rPr>
        <w:t xml:space="preserve"> Saigon VRG Investment Corporation </w:t>
      </w:r>
    </w:p>
    <w:p w:rsidR="00E313AB" w:rsidRDefault="00E313AB" w:rsidP="00E313AB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Type of share: Common shares</w:t>
      </w:r>
    </w:p>
    <w:p w:rsidR="00E313AB" w:rsidRDefault="00E313AB" w:rsidP="00E313AB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</w:t>
      </w:r>
      <w:r w:rsidRPr="00E313AB">
        <w:rPr>
          <w:rFonts w:ascii="Arial" w:hAnsi="Arial" w:cs="Arial"/>
          <w:sz w:val="20"/>
          <w:szCs w:val="20"/>
        </w:rPr>
        <w:t xml:space="preserve"> value: VND 10,000/ share </w:t>
      </w:r>
    </w:p>
    <w:p w:rsidR="00E313AB" w:rsidRDefault="00E313AB" w:rsidP="00E313AB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E313AB">
        <w:rPr>
          <w:rFonts w:ascii="Arial" w:hAnsi="Arial" w:cs="Arial"/>
          <w:sz w:val="20"/>
          <w:szCs w:val="20"/>
        </w:rPr>
        <w:t xml:space="preserve">- Number of shares before the issuance: 69,048,195 shares </w:t>
      </w:r>
    </w:p>
    <w:p w:rsidR="00E313AB" w:rsidRDefault="00E313AB" w:rsidP="00E313AB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E313AB">
        <w:rPr>
          <w:rFonts w:ascii="Arial" w:hAnsi="Arial" w:cs="Arial"/>
          <w:sz w:val="20"/>
          <w:szCs w:val="20"/>
        </w:rPr>
        <w:t>- Number of new</w:t>
      </w:r>
      <w:r>
        <w:rPr>
          <w:rFonts w:ascii="Arial" w:hAnsi="Arial" w:cs="Arial"/>
          <w:sz w:val="20"/>
          <w:szCs w:val="20"/>
        </w:rPr>
        <w:t>ly</w:t>
      </w:r>
      <w:r w:rsidRPr="00E313AB">
        <w:rPr>
          <w:rFonts w:ascii="Arial" w:hAnsi="Arial" w:cs="Arial"/>
          <w:sz w:val="20"/>
          <w:szCs w:val="20"/>
        </w:rPr>
        <w:t xml:space="preserve"> issued shares: 10,357,229 </w:t>
      </w:r>
      <w:r>
        <w:rPr>
          <w:rFonts w:ascii="Arial" w:hAnsi="Arial" w:cs="Arial"/>
          <w:sz w:val="20"/>
          <w:szCs w:val="20"/>
        </w:rPr>
        <w:t>shares</w:t>
      </w:r>
    </w:p>
    <w:p w:rsidR="00E313AB" w:rsidRDefault="00E313AB" w:rsidP="00E313AB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E313AB">
        <w:rPr>
          <w:rFonts w:ascii="Arial" w:hAnsi="Arial" w:cs="Arial"/>
          <w:sz w:val="20"/>
          <w:szCs w:val="20"/>
        </w:rPr>
        <w:t xml:space="preserve">- Purpose </w:t>
      </w:r>
      <w:r>
        <w:rPr>
          <w:rFonts w:ascii="Arial" w:hAnsi="Arial" w:cs="Arial"/>
          <w:sz w:val="20"/>
          <w:szCs w:val="20"/>
        </w:rPr>
        <w:t>of the i</w:t>
      </w:r>
      <w:r w:rsidRPr="00E313AB">
        <w:rPr>
          <w:rFonts w:ascii="Arial" w:hAnsi="Arial" w:cs="Arial"/>
          <w:sz w:val="20"/>
          <w:szCs w:val="20"/>
        </w:rPr>
        <w:t xml:space="preserve">ssue: </w:t>
      </w:r>
      <w:r>
        <w:rPr>
          <w:rFonts w:ascii="Arial" w:hAnsi="Arial" w:cs="Arial"/>
          <w:sz w:val="20"/>
          <w:szCs w:val="20"/>
        </w:rPr>
        <w:t>Bonus for existing shareholders</w:t>
      </w:r>
    </w:p>
    <w:p w:rsidR="00E313AB" w:rsidRDefault="00E313AB" w:rsidP="00E313AB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E313AB">
        <w:rPr>
          <w:rFonts w:ascii="Arial" w:hAnsi="Arial" w:cs="Arial"/>
          <w:sz w:val="20"/>
          <w:szCs w:val="20"/>
        </w:rPr>
        <w:t>- Form of issuance: Issuing bonus shares from the Company's investment and development capital</w:t>
      </w:r>
    </w:p>
    <w:p w:rsidR="00D2295D" w:rsidRDefault="00E313AB" w:rsidP="00E313AB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E313A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Eligible buyer</w:t>
      </w:r>
      <w:r w:rsidRPr="00E313AB">
        <w:rPr>
          <w:rFonts w:ascii="Arial" w:hAnsi="Arial" w:cs="Arial"/>
          <w:sz w:val="20"/>
          <w:szCs w:val="20"/>
        </w:rPr>
        <w:t xml:space="preserve">: Existing shareholders according to the list at the </w:t>
      </w:r>
      <w:r w:rsidR="00D2295D">
        <w:rPr>
          <w:rFonts w:ascii="Arial" w:hAnsi="Arial" w:cs="Arial"/>
          <w:sz w:val="20"/>
          <w:szCs w:val="20"/>
        </w:rPr>
        <w:t>record date of</w:t>
      </w:r>
      <w:r w:rsidRPr="00E313AB">
        <w:rPr>
          <w:rFonts w:ascii="Arial" w:hAnsi="Arial" w:cs="Arial"/>
          <w:sz w:val="20"/>
          <w:szCs w:val="20"/>
        </w:rPr>
        <w:t xml:space="preserve"> list of shareholders at Vietnam Securities Depository to exercise </w:t>
      </w:r>
      <w:r w:rsidR="00D2295D">
        <w:rPr>
          <w:rFonts w:ascii="Arial" w:hAnsi="Arial" w:cs="Arial"/>
          <w:sz w:val="20"/>
          <w:szCs w:val="20"/>
        </w:rPr>
        <w:t>the right</w:t>
      </w:r>
    </w:p>
    <w:p w:rsidR="00D2295D" w:rsidRDefault="00E313AB" w:rsidP="00E313AB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E313AB">
        <w:rPr>
          <w:rFonts w:ascii="Arial" w:hAnsi="Arial" w:cs="Arial"/>
          <w:sz w:val="20"/>
          <w:szCs w:val="20"/>
        </w:rPr>
        <w:t xml:space="preserve">- Mode of stock distribution: </w:t>
      </w:r>
    </w:p>
    <w:p w:rsidR="00D2295D" w:rsidRDefault="00E313AB" w:rsidP="00E313AB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E313AB">
        <w:rPr>
          <w:rFonts w:ascii="Arial" w:hAnsi="Arial" w:cs="Arial"/>
          <w:sz w:val="20"/>
          <w:szCs w:val="20"/>
        </w:rPr>
        <w:t xml:space="preserve">+ Exercise rate: 0.15.  Each shareholder holding 01 share is entitled to 1 right, </w:t>
      </w:r>
      <w:r w:rsidR="00D2295D">
        <w:rPr>
          <w:rFonts w:ascii="Arial" w:hAnsi="Arial" w:cs="Arial"/>
          <w:sz w:val="20"/>
          <w:szCs w:val="20"/>
        </w:rPr>
        <w:t>01 right</w:t>
      </w:r>
      <w:r w:rsidRPr="00E313AB">
        <w:rPr>
          <w:rFonts w:ascii="Arial" w:hAnsi="Arial" w:cs="Arial"/>
          <w:sz w:val="20"/>
          <w:szCs w:val="20"/>
        </w:rPr>
        <w:t xml:space="preserve"> receive</w:t>
      </w:r>
      <w:r w:rsidR="00D2295D">
        <w:rPr>
          <w:rFonts w:ascii="Arial" w:hAnsi="Arial" w:cs="Arial"/>
          <w:sz w:val="20"/>
          <w:szCs w:val="20"/>
        </w:rPr>
        <w:t>s 0.15 newly issued shares</w:t>
      </w:r>
    </w:p>
    <w:p w:rsidR="00E313AB" w:rsidRDefault="00E313AB" w:rsidP="00E313AB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E313AB">
        <w:rPr>
          <w:rFonts w:ascii="Arial" w:hAnsi="Arial" w:cs="Arial"/>
          <w:sz w:val="20"/>
          <w:szCs w:val="20"/>
        </w:rPr>
        <w:t>+ The number of shares paid w</w:t>
      </w:r>
      <w:r w:rsidR="00D2295D">
        <w:rPr>
          <w:rFonts w:ascii="Arial" w:hAnsi="Arial" w:cs="Arial"/>
          <w:sz w:val="20"/>
          <w:szCs w:val="20"/>
        </w:rPr>
        <w:t>ill be rounded down to the unit digit.</w:t>
      </w:r>
      <w:r w:rsidRPr="00E313AB">
        <w:rPr>
          <w:rFonts w:ascii="Arial" w:hAnsi="Arial" w:cs="Arial"/>
          <w:sz w:val="20"/>
          <w:szCs w:val="20"/>
        </w:rPr>
        <w:t xml:space="preserve"> The </w:t>
      </w:r>
      <w:r w:rsidR="00D2295D">
        <w:rPr>
          <w:rFonts w:ascii="Arial" w:hAnsi="Arial" w:cs="Arial"/>
          <w:sz w:val="20"/>
          <w:szCs w:val="20"/>
        </w:rPr>
        <w:t>decimal (if any) will be deleted. Right of receiving bonus shares is not allowed to transfer</w:t>
      </w:r>
    </w:p>
    <w:p w:rsidR="00D2295D" w:rsidRDefault="00D2295D" w:rsidP="00E313AB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D2295D">
        <w:rPr>
          <w:rFonts w:ascii="Arial" w:hAnsi="Arial" w:cs="Arial"/>
          <w:sz w:val="20"/>
          <w:szCs w:val="20"/>
        </w:rPr>
        <w:t xml:space="preserve">Plan </w:t>
      </w:r>
      <w:r>
        <w:rPr>
          <w:rFonts w:ascii="Arial" w:hAnsi="Arial" w:cs="Arial"/>
          <w:sz w:val="20"/>
          <w:szCs w:val="20"/>
        </w:rPr>
        <w:t>on use of the proceeds:</w:t>
      </w:r>
      <w:r w:rsidRPr="00D2295D">
        <w:rPr>
          <w:rFonts w:ascii="Arial" w:hAnsi="Arial" w:cs="Arial"/>
          <w:sz w:val="20"/>
          <w:szCs w:val="20"/>
        </w:rPr>
        <w:t xml:space="preserve"> To increase the charter capital of the Compan</w:t>
      </w:r>
      <w:r>
        <w:rPr>
          <w:rFonts w:ascii="Arial" w:hAnsi="Arial" w:cs="Arial"/>
          <w:sz w:val="20"/>
          <w:szCs w:val="20"/>
        </w:rPr>
        <w:t>y, supplement working capital for</w:t>
      </w:r>
      <w:r w:rsidRPr="00D2295D">
        <w:rPr>
          <w:rFonts w:ascii="Arial" w:hAnsi="Arial" w:cs="Arial"/>
          <w:sz w:val="20"/>
          <w:szCs w:val="20"/>
        </w:rPr>
        <w:t xml:space="preserve"> produ</w:t>
      </w:r>
      <w:r>
        <w:rPr>
          <w:rFonts w:ascii="Arial" w:hAnsi="Arial" w:cs="Arial"/>
          <w:sz w:val="20"/>
          <w:szCs w:val="20"/>
        </w:rPr>
        <w:t>ction and business activities</w:t>
      </w:r>
    </w:p>
    <w:p w:rsidR="00D2295D" w:rsidRDefault="00D2295D" w:rsidP="00E313AB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D2295D">
        <w:rPr>
          <w:rFonts w:ascii="Arial" w:hAnsi="Arial" w:cs="Arial"/>
          <w:sz w:val="20"/>
          <w:szCs w:val="20"/>
        </w:rPr>
        <w:t xml:space="preserve">-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D2295D">
        <w:rPr>
          <w:rFonts w:ascii="Arial" w:hAnsi="Arial" w:cs="Arial"/>
          <w:sz w:val="20"/>
          <w:szCs w:val="20"/>
        </w:rPr>
        <w:t xml:space="preserve"> authorizes the Board of Directors to decide all issues related to the issuance plan, specifically: </w:t>
      </w:r>
    </w:p>
    <w:p w:rsidR="00D2295D" w:rsidRDefault="00D2295D" w:rsidP="00E313AB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D2295D">
        <w:rPr>
          <w:rFonts w:ascii="Arial" w:hAnsi="Arial" w:cs="Arial"/>
          <w:sz w:val="20"/>
          <w:szCs w:val="20"/>
        </w:rPr>
        <w:t>+ Carrying</w:t>
      </w:r>
      <w:r>
        <w:rPr>
          <w:rFonts w:ascii="Arial" w:hAnsi="Arial" w:cs="Arial"/>
          <w:sz w:val="20"/>
          <w:szCs w:val="20"/>
        </w:rPr>
        <w:t xml:space="preserve"> out the necessary procedures for</w:t>
      </w:r>
      <w:r w:rsidRPr="00D2295D">
        <w:rPr>
          <w:rFonts w:ascii="Arial" w:hAnsi="Arial" w:cs="Arial"/>
          <w:sz w:val="20"/>
          <w:szCs w:val="20"/>
        </w:rPr>
        <w:t xml:space="preserve"> register</w:t>
      </w:r>
      <w:r>
        <w:rPr>
          <w:rFonts w:ascii="Arial" w:hAnsi="Arial" w:cs="Arial"/>
          <w:sz w:val="20"/>
          <w:szCs w:val="20"/>
        </w:rPr>
        <w:t xml:space="preserve">ing for </w:t>
      </w:r>
      <w:r w:rsidRPr="00D2295D">
        <w:rPr>
          <w:rFonts w:ascii="Arial" w:hAnsi="Arial" w:cs="Arial"/>
          <w:sz w:val="20"/>
          <w:szCs w:val="20"/>
        </w:rPr>
        <w:t>issuance of shares with th</w:t>
      </w:r>
      <w:r>
        <w:rPr>
          <w:rFonts w:ascii="Arial" w:hAnsi="Arial" w:cs="Arial"/>
          <w:sz w:val="20"/>
          <w:szCs w:val="20"/>
        </w:rPr>
        <w:t xml:space="preserve">e State Securities Commission </w:t>
      </w:r>
      <w:r w:rsidRPr="00D2295D">
        <w:rPr>
          <w:rFonts w:ascii="Arial" w:hAnsi="Arial" w:cs="Arial"/>
          <w:sz w:val="20"/>
          <w:szCs w:val="20"/>
        </w:rPr>
        <w:t>(SSC), Hanoi Stock Exchange (HNX), supplement</w:t>
      </w:r>
      <w:r>
        <w:rPr>
          <w:rFonts w:ascii="Arial" w:hAnsi="Arial" w:cs="Arial"/>
          <w:sz w:val="20"/>
          <w:szCs w:val="20"/>
        </w:rPr>
        <w:t>ing</w:t>
      </w:r>
      <w:r w:rsidRPr="00D2295D">
        <w:rPr>
          <w:rFonts w:ascii="Arial" w:hAnsi="Arial" w:cs="Arial"/>
          <w:sz w:val="20"/>
          <w:szCs w:val="20"/>
        </w:rPr>
        <w:t xml:space="preserve"> or amend </w:t>
      </w:r>
      <w:proofErr w:type="spellStart"/>
      <w:r>
        <w:rPr>
          <w:rFonts w:ascii="Arial" w:hAnsi="Arial" w:cs="Arial"/>
          <w:sz w:val="20"/>
          <w:szCs w:val="20"/>
        </w:rPr>
        <w:t>ing</w:t>
      </w:r>
      <w:r w:rsidRPr="00D2295D">
        <w:rPr>
          <w:rFonts w:ascii="Arial" w:hAnsi="Arial" w:cs="Arial"/>
          <w:sz w:val="20"/>
          <w:szCs w:val="20"/>
        </w:rPr>
        <w:t>the</w:t>
      </w:r>
      <w:proofErr w:type="spellEnd"/>
      <w:r w:rsidRPr="00D2295D">
        <w:rPr>
          <w:rFonts w:ascii="Arial" w:hAnsi="Arial" w:cs="Arial"/>
          <w:sz w:val="20"/>
          <w:szCs w:val="20"/>
        </w:rPr>
        <w:t xml:space="preserve"> plan as required by SSC/ HNX or for the purpose of complyin</w:t>
      </w:r>
      <w:r>
        <w:rPr>
          <w:rFonts w:ascii="Arial" w:hAnsi="Arial" w:cs="Arial"/>
          <w:sz w:val="20"/>
          <w:szCs w:val="20"/>
        </w:rPr>
        <w:t>g with relevant laws (if any)</w:t>
      </w:r>
    </w:p>
    <w:p w:rsidR="00D2295D" w:rsidRDefault="00D2295D" w:rsidP="00E313AB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D2295D">
        <w:rPr>
          <w:rFonts w:ascii="Arial" w:hAnsi="Arial" w:cs="Arial"/>
          <w:sz w:val="20"/>
          <w:szCs w:val="20"/>
        </w:rPr>
        <w:t xml:space="preserve">+ Carrying out the necessary procedures </w:t>
      </w:r>
      <w:r>
        <w:rPr>
          <w:rFonts w:ascii="Arial" w:hAnsi="Arial" w:cs="Arial"/>
          <w:sz w:val="20"/>
          <w:szCs w:val="20"/>
        </w:rPr>
        <w:t>for</w:t>
      </w:r>
      <w:r w:rsidRPr="00D2295D">
        <w:rPr>
          <w:rFonts w:ascii="Arial" w:hAnsi="Arial" w:cs="Arial"/>
          <w:sz w:val="20"/>
          <w:szCs w:val="20"/>
        </w:rPr>
        <w:t xml:space="preserve"> list</w:t>
      </w:r>
      <w:r>
        <w:rPr>
          <w:rFonts w:ascii="Arial" w:hAnsi="Arial" w:cs="Arial"/>
          <w:sz w:val="20"/>
          <w:szCs w:val="20"/>
        </w:rPr>
        <w:t>ing/</w:t>
      </w:r>
      <w:r w:rsidRPr="00D2295D">
        <w:rPr>
          <w:rFonts w:ascii="Arial" w:hAnsi="Arial" w:cs="Arial"/>
          <w:sz w:val="20"/>
          <w:szCs w:val="20"/>
        </w:rPr>
        <w:t xml:space="preserve"> additional transaction registratio</w:t>
      </w:r>
      <w:r>
        <w:rPr>
          <w:rFonts w:ascii="Arial" w:hAnsi="Arial" w:cs="Arial"/>
          <w:sz w:val="20"/>
          <w:szCs w:val="20"/>
        </w:rPr>
        <w:t xml:space="preserve">n for the share issued on </w:t>
      </w:r>
      <w:proofErr w:type="spellStart"/>
      <w:r>
        <w:rPr>
          <w:rFonts w:ascii="Arial" w:hAnsi="Arial" w:cs="Arial"/>
          <w:sz w:val="20"/>
          <w:szCs w:val="20"/>
        </w:rPr>
        <w:t>Upcom</w:t>
      </w:r>
      <w:proofErr w:type="spellEnd"/>
    </w:p>
    <w:p w:rsidR="0002469B" w:rsidRDefault="00D2295D" w:rsidP="00E313AB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D2295D">
        <w:rPr>
          <w:rFonts w:ascii="Arial" w:hAnsi="Arial" w:cs="Arial"/>
          <w:sz w:val="20"/>
          <w:szCs w:val="20"/>
        </w:rPr>
        <w:t>+ Amending the Charter of the Company on the charter capital and implementing procedures to increase the charter capital with the Department of Planning and Investment of Ho Ch</w:t>
      </w:r>
      <w:r w:rsidR="0002469B">
        <w:rPr>
          <w:rFonts w:ascii="Arial" w:hAnsi="Arial" w:cs="Arial"/>
          <w:sz w:val="20"/>
          <w:szCs w:val="20"/>
        </w:rPr>
        <w:t>i Minh City after the issuance</w:t>
      </w:r>
    </w:p>
    <w:p w:rsidR="0002469B" w:rsidRDefault="00D2295D" w:rsidP="00E313AB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D2295D">
        <w:rPr>
          <w:rFonts w:ascii="Arial" w:hAnsi="Arial" w:cs="Arial"/>
          <w:sz w:val="20"/>
          <w:szCs w:val="20"/>
        </w:rPr>
        <w:t xml:space="preserve">+ Perform other related jobs to complete the assigned work </w:t>
      </w:r>
    </w:p>
    <w:p w:rsidR="0002469B" w:rsidRDefault="00D2295D" w:rsidP="00E313AB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D2295D">
        <w:rPr>
          <w:rFonts w:ascii="Arial" w:hAnsi="Arial" w:cs="Arial"/>
          <w:sz w:val="20"/>
          <w:szCs w:val="20"/>
        </w:rPr>
        <w:lastRenderedPageBreak/>
        <w:t xml:space="preserve">+ Depending on each specific case, the Board of Directors is </w:t>
      </w:r>
      <w:r w:rsidR="0002469B">
        <w:rPr>
          <w:rFonts w:ascii="Arial" w:hAnsi="Arial" w:cs="Arial"/>
          <w:sz w:val="20"/>
          <w:szCs w:val="20"/>
        </w:rPr>
        <w:t>allowed to authorize</w:t>
      </w:r>
      <w:r w:rsidRPr="00D2295D">
        <w:rPr>
          <w:rFonts w:ascii="Arial" w:hAnsi="Arial" w:cs="Arial"/>
          <w:sz w:val="20"/>
          <w:szCs w:val="20"/>
        </w:rPr>
        <w:t xml:space="preserve"> the General Director to perform one or several </w:t>
      </w:r>
      <w:r w:rsidR="0002469B">
        <w:rPr>
          <w:rFonts w:ascii="Arial" w:hAnsi="Arial" w:cs="Arial"/>
          <w:sz w:val="20"/>
          <w:szCs w:val="20"/>
        </w:rPr>
        <w:t>specific tasks mentioned above</w:t>
      </w:r>
    </w:p>
    <w:p w:rsidR="00D2295D" w:rsidRPr="00E313AB" w:rsidRDefault="00D2295D" w:rsidP="00E313AB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D2295D">
        <w:rPr>
          <w:rFonts w:ascii="Arial" w:hAnsi="Arial" w:cs="Arial"/>
          <w:sz w:val="20"/>
          <w:szCs w:val="20"/>
        </w:rPr>
        <w:t xml:space="preserve">Article 11: This </w:t>
      </w:r>
      <w:r w:rsidR="0002469B">
        <w:rPr>
          <w:rFonts w:ascii="Arial" w:hAnsi="Arial" w:cs="Arial"/>
          <w:sz w:val="20"/>
          <w:szCs w:val="20"/>
        </w:rPr>
        <w:t>annual General Mandate was</w:t>
      </w:r>
      <w:r w:rsidRPr="00D2295D">
        <w:rPr>
          <w:rFonts w:ascii="Arial" w:hAnsi="Arial" w:cs="Arial"/>
          <w:sz w:val="20"/>
          <w:szCs w:val="20"/>
        </w:rPr>
        <w:t xml:space="preserve"> approved by the </w:t>
      </w:r>
      <w:r w:rsidR="0002469B">
        <w:rPr>
          <w:rFonts w:ascii="Arial" w:hAnsi="Arial" w:cs="Arial"/>
          <w:sz w:val="20"/>
          <w:szCs w:val="20"/>
        </w:rPr>
        <w:t>General Mandate</w:t>
      </w:r>
      <w:r w:rsidRPr="00D2295D">
        <w:rPr>
          <w:rFonts w:ascii="Arial" w:hAnsi="Arial" w:cs="Arial"/>
          <w:sz w:val="20"/>
          <w:szCs w:val="20"/>
        </w:rPr>
        <w:t xml:space="preserve"> in 2020 of </w:t>
      </w:r>
      <w:r w:rsidR="0002469B" w:rsidRPr="0002469B">
        <w:rPr>
          <w:rFonts w:ascii="Arial" w:hAnsi="Arial" w:cs="Arial"/>
          <w:sz w:val="20"/>
          <w:szCs w:val="20"/>
        </w:rPr>
        <w:t>Saigon VRG Investment Corporation</w:t>
      </w:r>
      <w:r w:rsidRPr="00D2295D">
        <w:rPr>
          <w:rFonts w:ascii="Arial" w:hAnsi="Arial" w:cs="Arial"/>
          <w:sz w:val="20"/>
          <w:szCs w:val="20"/>
        </w:rPr>
        <w:t xml:space="preserve"> and takes effect from the date of signing. The Board of Directors and the </w:t>
      </w:r>
      <w:r w:rsidR="0002469B">
        <w:rPr>
          <w:rFonts w:ascii="Arial" w:hAnsi="Arial" w:cs="Arial"/>
          <w:sz w:val="20"/>
          <w:szCs w:val="20"/>
        </w:rPr>
        <w:t xml:space="preserve">Management Board </w:t>
      </w:r>
      <w:r w:rsidRPr="00D2295D">
        <w:rPr>
          <w:rFonts w:ascii="Arial" w:hAnsi="Arial" w:cs="Arial"/>
          <w:sz w:val="20"/>
          <w:szCs w:val="20"/>
        </w:rPr>
        <w:t xml:space="preserve">of </w:t>
      </w:r>
      <w:r w:rsidR="0002469B" w:rsidRPr="0002469B">
        <w:rPr>
          <w:rFonts w:ascii="Arial" w:hAnsi="Arial" w:cs="Arial"/>
          <w:sz w:val="20"/>
          <w:szCs w:val="20"/>
        </w:rPr>
        <w:t xml:space="preserve">Saigon VRG Investment Corporation </w:t>
      </w:r>
      <w:r w:rsidRPr="00D2295D">
        <w:rPr>
          <w:rFonts w:ascii="Arial" w:hAnsi="Arial" w:cs="Arial"/>
          <w:sz w:val="20"/>
          <w:szCs w:val="20"/>
        </w:rPr>
        <w:t xml:space="preserve">are responsible for organizing and implementing the contents of this </w:t>
      </w:r>
      <w:r w:rsidR="0002469B">
        <w:rPr>
          <w:rFonts w:ascii="Arial" w:hAnsi="Arial" w:cs="Arial"/>
          <w:sz w:val="20"/>
          <w:szCs w:val="20"/>
        </w:rPr>
        <w:t xml:space="preserve">annual General Mandate </w:t>
      </w:r>
    </w:p>
    <w:p w:rsidR="00936ABF" w:rsidRPr="00936ABF" w:rsidRDefault="00936ABF" w:rsidP="00936ABF">
      <w:pPr>
        <w:spacing w:after="12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36ABF" w:rsidRPr="00936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469B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7024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D73E1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3F38AB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6ABF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E3B72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0AB7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2295D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13AB"/>
    <w:rsid w:val="00E35884"/>
    <w:rsid w:val="00E43201"/>
    <w:rsid w:val="00E4445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B84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311</cp:revision>
  <dcterms:created xsi:type="dcterms:W3CDTF">2019-10-16T10:03:00Z</dcterms:created>
  <dcterms:modified xsi:type="dcterms:W3CDTF">2020-07-02T15:32:00Z</dcterms:modified>
</cp:coreProperties>
</file>